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B0508" w14:textId="77777777" w:rsidR="00D85167" w:rsidRDefault="00D85167" w:rsidP="00477412">
      <w:pPr>
        <w:rPr>
          <w:b/>
          <w:bCs/>
          <w:lang w:val="en-US"/>
        </w:rPr>
      </w:pPr>
    </w:p>
    <w:p w14:paraId="0AE85712" w14:textId="02B6B687" w:rsidR="006336DF" w:rsidRPr="00507C00" w:rsidRDefault="006336DF" w:rsidP="006336DF">
      <w:pPr>
        <w:rPr>
          <w:b/>
          <w:bCs/>
          <w:sz w:val="48"/>
          <w:szCs w:val="48"/>
          <w:lang w:val="en-US"/>
        </w:rPr>
      </w:pPr>
      <w:r w:rsidRPr="00507C00">
        <w:rPr>
          <w:b/>
          <w:bCs/>
          <w:sz w:val="48"/>
          <w:szCs w:val="48"/>
          <w:lang w:val="en-US"/>
        </w:rPr>
        <w:t>Matia</w:t>
      </w:r>
      <w:r w:rsidRPr="005E1BE0">
        <w:rPr>
          <w:b/>
          <w:bCs/>
          <w:sz w:val="48"/>
          <w:szCs w:val="48"/>
          <w:lang w:val="es-ES"/>
        </w:rPr>
        <w:t xml:space="preserve"> participa</w:t>
      </w:r>
      <w:r w:rsidRPr="00507C00">
        <w:rPr>
          <w:b/>
          <w:bCs/>
          <w:sz w:val="48"/>
          <w:szCs w:val="48"/>
          <w:lang w:val="en-US"/>
        </w:rPr>
        <w:t xml:space="preserve"> </w:t>
      </w:r>
      <w:proofErr w:type="spellStart"/>
      <w:r w:rsidRPr="00507C00">
        <w:rPr>
          <w:b/>
          <w:bCs/>
          <w:sz w:val="48"/>
          <w:szCs w:val="48"/>
          <w:lang w:val="en-US"/>
        </w:rPr>
        <w:t>en</w:t>
      </w:r>
      <w:proofErr w:type="spellEnd"/>
      <w:r w:rsidRPr="00507C00">
        <w:rPr>
          <w:b/>
          <w:bCs/>
          <w:sz w:val="48"/>
          <w:szCs w:val="48"/>
          <w:lang w:val="en-US"/>
        </w:rPr>
        <w:t xml:space="preserve"> el </w:t>
      </w:r>
      <w:proofErr w:type="spellStart"/>
      <w:r w:rsidRPr="00507C00">
        <w:rPr>
          <w:b/>
          <w:bCs/>
          <w:sz w:val="48"/>
          <w:szCs w:val="48"/>
          <w:lang w:val="en-US"/>
        </w:rPr>
        <w:t>desarrollo</w:t>
      </w:r>
      <w:proofErr w:type="spellEnd"/>
      <w:r w:rsidRPr="00507C00">
        <w:rPr>
          <w:b/>
          <w:bCs/>
          <w:sz w:val="48"/>
          <w:szCs w:val="48"/>
          <w:lang w:val="en-US"/>
        </w:rPr>
        <w:t xml:space="preserve"> y </w:t>
      </w:r>
      <w:proofErr w:type="spellStart"/>
      <w:r w:rsidRPr="00507C00">
        <w:rPr>
          <w:b/>
          <w:bCs/>
          <w:sz w:val="48"/>
          <w:szCs w:val="48"/>
          <w:lang w:val="en-US"/>
        </w:rPr>
        <w:t>lanzamiento</w:t>
      </w:r>
      <w:proofErr w:type="spellEnd"/>
      <w:r w:rsidRPr="00507C00">
        <w:rPr>
          <w:b/>
          <w:bCs/>
          <w:sz w:val="48"/>
          <w:szCs w:val="48"/>
          <w:lang w:val="en-US"/>
        </w:rPr>
        <w:t xml:space="preserve"> de un </w:t>
      </w:r>
      <w:proofErr w:type="spellStart"/>
      <w:r w:rsidRPr="00507C00">
        <w:rPr>
          <w:b/>
          <w:bCs/>
          <w:sz w:val="48"/>
          <w:szCs w:val="48"/>
          <w:lang w:val="en-US"/>
        </w:rPr>
        <w:t>novedoso</w:t>
      </w:r>
      <w:proofErr w:type="spellEnd"/>
      <w:r w:rsidRPr="00507C00">
        <w:rPr>
          <w:b/>
          <w:bCs/>
          <w:sz w:val="48"/>
          <w:szCs w:val="48"/>
          <w:lang w:val="en-US"/>
        </w:rPr>
        <w:t xml:space="preserve"> Toolkit que </w:t>
      </w:r>
      <w:bookmarkStart w:id="0" w:name="_GoBack"/>
      <w:proofErr w:type="spellStart"/>
      <w:r w:rsidRPr="00507C00">
        <w:rPr>
          <w:b/>
          <w:bCs/>
          <w:sz w:val="48"/>
          <w:szCs w:val="48"/>
          <w:lang w:val="en-US"/>
        </w:rPr>
        <w:t>tiende</w:t>
      </w:r>
      <w:bookmarkEnd w:id="0"/>
      <w:proofErr w:type="spellEnd"/>
      <w:r w:rsidRPr="00507C00">
        <w:rPr>
          <w:b/>
          <w:bCs/>
          <w:sz w:val="48"/>
          <w:szCs w:val="48"/>
          <w:lang w:val="en-US"/>
        </w:rPr>
        <w:t xml:space="preserve"> </w:t>
      </w:r>
      <w:proofErr w:type="spellStart"/>
      <w:r w:rsidRPr="00507C00">
        <w:rPr>
          <w:b/>
          <w:bCs/>
          <w:sz w:val="48"/>
          <w:szCs w:val="48"/>
          <w:lang w:val="en-US"/>
        </w:rPr>
        <w:t>puentes</w:t>
      </w:r>
      <w:proofErr w:type="spellEnd"/>
      <w:r w:rsidRPr="00507C00">
        <w:rPr>
          <w:b/>
          <w:bCs/>
          <w:sz w:val="48"/>
          <w:szCs w:val="48"/>
          <w:lang w:val="en-US"/>
        </w:rPr>
        <w:t xml:space="preserve"> entre las artes y la </w:t>
      </w:r>
      <w:proofErr w:type="spellStart"/>
      <w:r w:rsidRPr="00507C00">
        <w:rPr>
          <w:b/>
          <w:bCs/>
          <w:sz w:val="48"/>
          <w:szCs w:val="48"/>
          <w:lang w:val="en-US"/>
        </w:rPr>
        <w:t>cultura</w:t>
      </w:r>
      <w:proofErr w:type="spellEnd"/>
      <w:r w:rsidRPr="00507C00">
        <w:rPr>
          <w:b/>
          <w:bCs/>
          <w:sz w:val="48"/>
          <w:szCs w:val="48"/>
          <w:lang w:val="en-US"/>
        </w:rPr>
        <w:t xml:space="preserve"> y las personas que </w:t>
      </w:r>
      <w:proofErr w:type="spellStart"/>
      <w:r w:rsidRPr="00507C00">
        <w:rPr>
          <w:b/>
          <w:bCs/>
          <w:sz w:val="48"/>
          <w:szCs w:val="48"/>
          <w:lang w:val="en-US"/>
        </w:rPr>
        <w:t>viven</w:t>
      </w:r>
      <w:proofErr w:type="spellEnd"/>
      <w:r w:rsidRPr="00507C00">
        <w:rPr>
          <w:b/>
          <w:bCs/>
          <w:sz w:val="48"/>
          <w:szCs w:val="48"/>
          <w:lang w:val="en-US"/>
        </w:rPr>
        <w:t xml:space="preserve"> con </w:t>
      </w:r>
      <w:proofErr w:type="spellStart"/>
      <w:r w:rsidRPr="00507C00">
        <w:rPr>
          <w:b/>
          <w:bCs/>
          <w:sz w:val="48"/>
          <w:szCs w:val="48"/>
          <w:lang w:val="en-US"/>
        </w:rPr>
        <w:t>demencia</w:t>
      </w:r>
      <w:proofErr w:type="spellEnd"/>
    </w:p>
    <w:p w14:paraId="1D37AF22" w14:textId="77777777" w:rsidR="00507C00" w:rsidRPr="00507C00" w:rsidRDefault="00507C00" w:rsidP="00507C00">
      <w:pPr>
        <w:pStyle w:val="Prrafodelista"/>
        <w:numPr>
          <w:ilvl w:val="0"/>
          <w:numId w:val="7"/>
        </w:numPr>
        <w:rPr>
          <w:b/>
          <w:bCs/>
        </w:rPr>
      </w:pPr>
      <w:r w:rsidRPr="00507C00">
        <w:rPr>
          <w:b/>
          <w:bCs/>
        </w:rPr>
        <w:t>Dementia and Cultural Mediation es un proyecto que busca sensibilizar y dar visibilidad a iniciativas relacionadas con el arte y la demencia</w:t>
      </w:r>
    </w:p>
    <w:p w14:paraId="7C467467" w14:textId="77777777" w:rsidR="00507C00" w:rsidRPr="00507C00" w:rsidRDefault="00507C00" w:rsidP="00507C00">
      <w:pPr>
        <w:pStyle w:val="Prrafodelista"/>
        <w:numPr>
          <w:ilvl w:val="0"/>
          <w:numId w:val="7"/>
        </w:numPr>
        <w:rPr>
          <w:b/>
          <w:bCs/>
        </w:rPr>
      </w:pPr>
      <w:r w:rsidRPr="00507C00">
        <w:rPr>
          <w:b/>
          <w:bCs/>
        </w:rPr>
        <w:t>Danza, música, fotografía y pintura son algunas de las disciplinas con practices identificadas en el estado</w:t>
      </w:r>
    </w:p>
    <w:p w14:paraId="35EC9771" w14:textId="77777777" w:rsidR="00507C00" w:rsidRPr="00507C00" w:rsidRDefault="00507C00" w:rsidP="00507C00">
      <w:pPr>
        <w:pStyle w:val="Prrafodelista"/>
        <w:numPr>
          <w:ilvl w:val="0"/>
          <w:numId w:val="7"/>
        </w:numPr>
        <w:rPr>
          <w:b/>
          <w:bCs/>
        </w:rPr>
      </w:pPr>
      <w:r w:rsidRPr="00507C00">
        <w:rPr>
          <w:b/>
          <w:bCs/>
        </w:rPr>
        <w:t>Más allá del bienestar que genera en las personas, también es clave el normalizar al disfrute y la participación de las personas con demencia en este tipo de actividades</w:t>
      </w:r>
    </w:p>
    <w:p w14:paraId="54B233AA" w14:textId="77777777" w:rsidR="00507C00" w:rsidRDefault="00507C00" w:rsidP="00507C00"/>
    <w:p w14:paraId="507AA5FD" w14:textId="7E7474CF" w:rsidR="00507C00" w:rsidRPr="00507C00" w:rsidRDefault="00507C00" w:rsidP="00507C00">
      <w:r w:rsidRPr="00507C00">
        <w:t>(San Sebastián, 31 de marzo de 2022).- Estos días, Matia Instituto, junto con socios de Dinamarca, Bélgica y Países Bajos, participamos en el lanzamiento de una caja de herramientas dirigida a instituciones culturales y de otros ámbitos, interesadas en la puesta en marcha de actividades culturales para y con personas que viven con demencia.</w:t>
      </w:r>
    </w:p>
    <w:p w14:paraId="0C3EAFE2" w14:textId="77777777" w:rsidR="00507C00" w:rsidRPr="00507C00" w:rsidRDefault="00507C00" w:rsidP="00507C00">
      <w:r w:rsidRPr="00507C00">
        <w:t>Desde hace varios años, y como parte esencial en el desempeño de nuestra entidad, hemos ido incorporando distintas áreas de interés en relación a la mejora de la atención y cuidado de personas que precisan de apoyos en su día a día, muchas de las cuales conviven con una demencia. La evidencia observacional revela al papel positivo que llegan a jugar las actividades artísticas en el bienestar de estas personas.</w:t>
      </w:r>
    </w:p>
    <w:p w14:paraId="5BEE23D4" w14:textId="77777777" w:rsidR="00507C00" w:rsidRPr="00507C00" w:rsidRDefault="00507C00" w:rsidP="00507C00">
      <w:r w:rsidRPr="00507C00">
        <w:t>Este ha sido el motor que nos ha llevado a entrar en la escena europea como socios del </w:t>
      </w:r>
      <w:hyperlink r:id="rId7" w:history="1">
        <w:r w:rsidRPr="00507C00">
          <w:rPr>
            <w:rStyle w:val="Hipervnculo"/>
          </w:rPr>
          <w:t>proyecto DCUM</w:t>
        </w:r>
      </w:hyperlink>
      <w:r w:rsidRPr="00507C00">
        <w:t> (Dementia and Cultural Mediation), una iniciativa desde la cual hemos tenido la oportunidad de conocer en detalle y de primera mano, diversas experiencias que están en marcha  y que exploran dos mundos tan diversos como el del arte y la demencia.</w:t>
      </w:r>
    </w:p>
    <w:p w14:paraId="59E154BB" w14:textId="77777777" w:rsidR="00507C00" w:rsidRPr="00507C00" w:rsidRDefault="00507C00" w:rsidP="00507C00">
      <w:r w:rsidRPr="00507C00">
        <w:t>Danza, coros, teatro, pintura, poesía, fotografía… la gama de actividades artísticas que se han ido incorporando en la propuesta es excepcionalmente variada; con un elemento en común, la búsqueda de la participación de las personas, no como meros espectadores, sino como actores protagonistas de la actividad.</w:t>
      </w:r>
    </w:p>
    <w:p w14:paraId="347C662C" w14:textId="77777777" w:rsidR="00507C00" w:rsidRPr="00507C00" w:rsidRDefault="00507C00" w:rsidP="00507C00">
      <w:r w:rsidRPr="00507C00">
        <w:t>A nivel estatal cabría señalar propuestas como:</w:t>
      </w:r>
    </w:p>
    <w:p w14:paraId="23687077" w14:textId="77777777" w:rsidR="00507C00" w:rsidRPr="00507C00" w:rsidRDefault="00507C00" w:rsidP="00507C00">
      <w:r w:rsidRPr="00507C00">
        <w:t>”</w:t>
      </w:r>
      <w:hyperlink r:id="rId8" w:history="1">
        <w:r w:rsidRPr="00507C00">
          <w:rPr>
            <w:rStyle w:val="Hipervnculo"/>
          </w:rPr>
          <w:t>Invisible beauty</w:t>
        </w:r>
      </w:hyperlink>
      <w:r w:rsidRPr="00507C00">
        <w:t>”: una apuesta de la compañía del bailarín donostiarra Iker Arrue y su compañía AI Do Project por aproximar el mundo de la danza a personas que, como su padre, conviven con el Alzheimer. En el proyecto colaboran entidades como Musikene (Centro Superior de Música del País Vasco), AFAGI y Dantzagunea, entre otros.</w:t>
      </w:r>
    </w:p>
    <w:p w14:paraId="78AF4DD5" w14:textId="77777777" w:rsidR="00507C00" w:rsidRPr="00507C00" w:rsidRDefault="00507C00" w:rsidP="00507C00">
      <w:r w:rsidRPr="00507C00">
        <w:lastRenderedPageBreak/>
        <w:t>Desde Vigo la coral ”</w:t>
      </w:r>
      <w:hyperlink r:id="rId9" w:history="1">
        <w:r w:rsidRPr="00507C00">
          <w:rPr>
            <w:rStyle w:val="Hipervnculo"/>
          </w:rPr>
          <w:t>Sonidos de la memoria</w:t>
        </w:r>
      </w:hyperlink>
      <w:r w:rsidRPr="00507C00">
        <w:t>” de la Asociación de Familiares de Enfermos de Alzheímer y otras demencias de Galicia (AFAGA) que trabaja la reminiscencia y el fomento de relaciones sociales a partir de puesta en marcha de un grupo coral de personas con y sin demencia. </w:t>
      </w:r>
    </w:p>
    <w:p w14:paraId="7849E4F4" w14:textId="77777777" w:rsidR="00507C00" w:rsidRPr="00507C00" w:rsidRDefault="00507C00" w:rsidP="00507C00">
      <w:r w:rsidRPr="00507C00">
        <w:t>Programas educativos del Museo Thyssen como ”</w:t>
      </w:r>
      <w:hyperlink r:id="rId10" w:history="1">
        <w:r w:rsidRPr="00507C00">
          <w:rPr>
            <w:rStyle w:val="Hipervnculo"/>
          </w:rPr>
          <w:t>Arte con sentido</w:t>
        </w:r>
      </w:hyperlink>
      <w:r w:rsidRPr="00507C00">
        <w:t>” o ”</w:t>
      </w:r>
      <w:hyperlink r:id="rId11" w:history="1">
        <w:r w:rsidRPr="00507C00">
          <w:rPr>
            <w:rStyle w:val="Hipervnculo"/>
          </w:rPr>
          <w:t>Cajas de la memoria</w:t>
        </w:r>
      </w:hyperlink>
      <w:r w:rsidRPr="00507C00">
        <w:t>”, que ponen el foco el la inclusión de este colectivo en espacios culturales como los museos desde la acción significativa y estimulante. </w:t>
      </w:r>
    </w:p>
    <w:p w14:paraId="45E15927" w14:textId="77777777" w:rsidR="00507C00" w:rsidRPr="00507C00" w:rsidRDefault="00507C00" w:rsidP="00507C00">
      <w:r w:rsidRPr="00507C00">
        <w:t>También hay espacio para el empleo de la imagen y la fotografía en el bienestar de personas que viven en centros sociosanitarios a través de propuestas como ”</w:t>
      </w:r>
      <w:hyperlink r:id="rId12" w:history="1">
        <w:r w:rsidRPr="00507C00">
          <w:rPr>
            <w:rStyle w:val="Hipervnculo"/>
          </w:rPr>
          <w:t>Libro de Vida</w:t>
        </w:r>
      </w:hyperlink>
      <w:r w:rsidRPr="00507C00">
        <w:t>” del fotógrafo David Viñuales y la Asociación de Alzheimer de Huesca.    </w:t>
      </w:r>
    </w:p>
    <w:p w14:paraId="71261863" w14:textId="77777777" w:rsidR="00507C00" w:rsidRPr="00507C00" w:rsidRDefault="00507C00" w:rsidP="00507C00">
      <w:r w:rsidRPr="00507C00">
        <w:t>Este proyecto Erasmus+ arranca a finales de 2019 en colaboración con un grupo de entidades de Dinamarca, Países Bajos, Bélgica y España, y en la actual fase de diseminación acaba de liberar un conjunto de materiales (vídeos y guías didácticas) que ofrecen una orientación inicial a aquellos agentes y mediadores culturales que deseen incluir en su práctica a personas con demencia.</w:t>
      </w:r>
    </w:p>
    <w:p w14:paraId="5D828B65" w14:textId="77777777" w:rsidR="00507C00" w:rsidRPr="00507C00" w:rsidRDefault="00507C00" w:rsidP="00507C00">
      <w:r w:rsidRPr="00507C00">
        <w:t>En la página web del proyecto también nos encontraremos con una serie de consejos generales sobre cómo actuar conductual y comunicativamente con este grupo de ciudadanos, así como recomendaciones sobre cómo incluir la cultura y la demencia en la agenda local, nacional e internacional.</w:t>
      </w:r>
    </w:p>
    <w:p w14:paraId="742A7E3A" w14:textId="77777777" w:rsidR="00507C00" w:rsidRPr="00507C00" w:rsidRDefault="00507C00" w:rsidP="00507C00">
      <w:r w:rsidRPr="00507C00">
        <w:t>El proyecto ha recogido un buen número de experiencias emocionales positivas de cómo la cultura puede ser la llave a esos recuerdos y sentimientos que se han ido diluyendo en nuestra memoria y no menos importante, la sensación de seguir siendo una parte valiosa de la sociedad.</w:t>
      </w:r>
    </w:p>
    <w:p w14:paraId="1D395D6D" w14:textId="77777777" w:rsidR="00507C00" w:rsidRPr="00507C00" w:rsidRDefault="00507C00" w:rsidP="00507C00">
      <w:r w:rsidRPr="00507C00">
        <w:t>Os invitamos a descubrir todos estos materiales en la página web de DCUM:  </w:t>
      </w:r>
      <w:hyperlink r:id="rId13" w:history="1">
        <w:r w:rsidRPr="00507C00">
          <w:rPr>
            <w:rStyle w:val="Hipervnculo"/>
          </w:rPr>
          <w:t>https://dementiainculturalmediation.eu/</w:t>
        </w:r>
      </w:hyperlink>
    </w:p>
    <w:p w14:paraId="50B58460" w14:textId="77777777" w:rsidR="005E1BE0" w:rsidRPr="00507C00" w:rsidRDefault="005E1BE0" w:rsidP="005E1BE0">
      <w:r w:rsidRPr="00507C00">
        <w:t>Consorcio:</w:t>
      </w:r>
    </w:p>
    <w:p w14:paraId="3A21B6F4" w14:textId="537DBD5E" w:rsidR="00A16F51" w:rsidRPr="00507C00" w:rsidRDefault="005E1BE0" w:rsidP="00507C00">
      <w:r>
        <w:rPr>
          <w:noProof/>
          <w:lang w:val="es-ES" w:eastAsia="es-ES"/>
        </w:rPr>
        <w:drawing>
          <wp:inline distT="0" distB="0" distL="0" distR="0" wp14:anchorId="4A68E324" wp14:editId="58E031C5">
            <wp:extent cx="946667" cy="450000"/>
            <wp:effectExtent l="0" t="0" r="0" b="7620"/>
            <wp:docPr id="2" name="Imagen 2" descr="Bakardadeak | Instituto M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ardadeak | Instituto Mat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67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F51" w:rsidRPr="00507C00"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4A94895" wp14:editId="0C30EAE3">
            <wp:simplePos x="0" y="0"/>
            <wp:positionH relativeFrom="column">
              <wp:posOffset>2623185</wp:posOffset>
            </wp:positionH>
            <wp:positionV relativeFrom="paragraph">
              <wp:posOffset>0</wp:posOffset>
            </wp:positionV>
            <wp:extent cx="1066800" cy="561340"/>
            <wp:effectExtent l="0" t="0" r="0" b="0"/>
            <wp:wrapTight wrapText="bothSides">
              <wp:wrapPolygon edited="0">
                <wp:start x="0" y="0"/>
                <wp:lineTo x="0" y="20525"/>
                <wp:lineTo x="21214" y="20525"/>
                <wp:lineTo x="21214" y="0"/>
                <wp:lineTo x="0" y="0"/>
              </wp:wrapPolygon>
            </wp:wrapTight>
            <wp:docPr id="5" name="Imagen 5" descr="Logo de Expertisecentrum Dementie Vlande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de Expertisecentrum Dementie Vlandeer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51" w:rsidRPr="00507C00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8529543" wp14:editId="5B993397">
            <wp:simplePos x="0" y="0"/>
            <wp:positionH relativeFrom="column">
              <wp:posOffset>1327785</wp:posOffset>
            </wp:positionH>
            <wp:positionV relativeFrom="paragraph">
              <wp:posOffset>0</wp:posOffset>
            </wp:positionV>
            <wp:extent cx="1162050" cy="565531"/>
            <wp:effectExtent l="0" t="0" r="0" b="6350"/>
            <wp:wrapTight wrapText="bothSides">
              <wp:wrapPolygon edited="0">
                <wp:start x="0" y="0"/>
                <wp:lineTo x="0" y="21115"/>
                <wp:lineTo x="21246" y="21115"/>
                <wp:lineTo x="21246" y="0"/>
                <wp:lineTo x="0" y="0"/>
              </wp:wrapPolygon>
            </wp:wrapTight>
            <wp:docPr id="4" name="Imagen 4" descr="Logo de Healthy Ageing Network Northern Nether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e Healthy Ageing Network Northern Netherland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6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51" w:rsidRPr="00507C00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5706C9F" wp14:editId="733139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591820"/>
            <wp:effectExtent l="0" t="0" r="0" b="0"/>
            <wp:wrapTight wrapText="bothSides">
              <wp:wrapPolygon edited="0">
                <wp:start x="732" y="2781"/>
                <wp:lineTo x="0" y="7648"/>
                <wp:lineTo x="0" y="12515"/>
                <wp:lineTo x="732" y="17382"/>
                <wp:lineTo x="21234" y="17382"/>
                <wp:lineTo x="21234" y="2781"/>
                <wp:lineTo x="732" y="2781"/>
              </wp:wrapPolygon>
            </wp:wrapTight>
            <wp:docPr id="3" name="Imagen 3" descr="Logo de Odense Libraries and Citizen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 Odense Libraries and Citizen Servi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527" cy="59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2ECE9" w14:textId="77777777" w:rsidR="005E1BE0" w:rsidRDefault="005E1BE0" w:rsidP="00507C00">
      <w:r w:rsidRPr="00507C00"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00592F64" wp14:editId="38BE3247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047750" cy="551815"/>
            <wp:effectExtent l="0" t="0" r="0" b="0"/>
            <wp:wrapTight wrapText="bothSides">
              <wp:wrapPolygon edited="0">
                <wp:start x="0" y="1491"/>
                <wp:lineTo x="0" y="18642"/>
                <wp:lineTo x="9033" y="18642"/>
                <wp:lineTo x="18458" y="16405"/>
                <wp:lineTo x="21207" y="12677"/>
                <wp:lineTo x="21207" y="5220"/>
                <wp:lineTo x="9033" y="1491"/>
                <wp:lineTo x="0" y="1491"/>
              </wp:wrapPolygon>
            </wp:wrapTight>
            <wp:docPr id="7" name="Imagen 7" descr="Logo de Vrije Universiteit Bru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de Vrije Universiteit Brusse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51" w:rsidRPr="00507C00">
        <w:t xml:space="preserve"> </w:t>
      </w:r>
    </w:p>
    <w:p w14:paraId="5655909F" w14:textId="77777777" w:rsidR="005E1BE0" w:rsidRDefault="005E1BE0" w:rsidP="00507C00"/>
    <w:p w14:paraId="52BC717E" w14:textId="2D602760" w:rsidR="00507C00" w:rsidRPr="00507C00" w:rsidRDefault="00507C00" w:rsidP="00507C00">
      <w:r w:rsidRPr="00507C00">
        <w:t>Consorcio del proyecto DCUM:</w:t>
      </w:r>
    </w:p>
    <w:p w14:paraId="225AE1B7" w14:textId="77777777" w:rsidR="00507C00" w:rsidRPr="00507C00" w:rsidRDefault="00507C00" w:rsidP="00507C00">
      <w:r w:rsidRPr="00507C00">
        <w:t>Odense Libraries and Citizens Service, Dinamarca.</w:t>
      </w:r>
    </w:p>
    <w:p w14:paraId="1391F563" w14:textId="77777777" w:rsidR="00507C00" w:rsidRPr="00507C00" w:rsidRDefault="00507C00" w:rsidP="00507C00">
      <w:r w:rsidRPr="00507C00">
        <w:t>Expertisecentrum Dementie Vlaanderen, Bélgica.</w:t>
      </w:r>
    </w:p>
    <w:p w14:paraId="617F8A84" w14:textId="77777777" w:rsidR="00507C00" w:rsidRPr="00507C00" w:rsidRDefault="00507C00" w:rsidP="00507C00">
      <w:r w:rsidRPr="00507C00">
        <w:t>Healthy Aging Network Northern Netherlands, Países Bajos.</w:t>
      </w:r>
    </w:p>
    <w:p w14:paraId="74F1C297" w14:textId="77777777" w:rsidR="00507C00" w:rsidRPr="00507C00" w:rsidRDefault="00507C00" w:rsidP="00507C00">
      <w:r w:rsidRPr="00507C00">
        <w:t>Vrije Universiteit Brussel, Bélgica.</w:t>
      </w:r>
    </w:p>
    <w:p w14:paraId="79C3167C" w14:textId="77777777" w:rsidR="00507C00" w:rsidRPr="00507C00" w:rsidRDefault="00507C00" w:rsidP="00507C00">
      <w:r w:rsidRPr="00507C00">
        <w:t>Matia Instituto, España.</w:t>
      </w:r>
    </w:p>
    <w:p w14:paraId="57A5AE2B" w14:textId="77777777" w:rsidR="00455888" w:rsidRPr="006336DF" w:rsidRDefault="00455888" w:rsidP="006336DF">
      <w:pPr>
        <w:rPr>
          <w:lang w:val="en-US"/>
        </w:rPr>
      </w:pPr>
    </w:p>
    <w:sectPr w:rsidR="00455888" w:rsidRPr="006336DF" w:rsidSect="0099541C">
      <w:head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0D469" w14:textId="77777777" w:rsidR="005601F0" w:rsidRDefault="005601F0" w:rsidP="00A16F51">
      <w:pPr>
        <w:spacing w:after="0" w:line="240" w:lineRule="auto"/>
      </w:pPr>
      <w:r>
        <w:separator/>
      </w:r>
    </w:p>
  </w:endnote>
  <w:endnote w:type="continuationSeparator" w:id="0">
    <w:p w14:paraId="6084C0AB" w14:textId="77777777" w:rsidR="005601F0" w:rsidRDefault="005601F0" w:rsidP="00A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EE7A" w14:textId="77777777" w:rsidR="005601F0" w:rsidRDefault="005601F0" w:rsidP="00A16F51">
      <w:pPr>
        <w:spacing w:after="0" w:line="240" w:lineRule="auto"/>
      </w:pPr>
      <w:r>
        <w:separator/>
      </w:r>
    </w:p>
  </w:footnote>
  <w:footnote w:type="continuationSeparator" w:id="0">
    <w:p w14:paraId="580B33FB" w14:textId="77777777" w:rsidR="005601F0" w:rsidRDefault="005601F0" w:rsidP="00A1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DD93" w14:textId="50464284" w:rsidR="001F31DB" w:rsidRDefault="0099541C">
    <w:pPr>
      <w:pStyle w:val="Encabezado"/>
    </w:pPr>
    <w:bookmarkStart w:id="1" w:name="_Hlk99555665"/>
    <w:bookmarkEnd w:id="1"/>
    <w:r>
      <w:rPr>
        <w:noProof/>
        <w:lang w:val="es-ES" w:eastAsia="es-ES"/>
      </w:rPr>
      <w:drawing>
        <wp:inline distT="0" distB="0" distL="0" distR="0" wp14:anchorId="3C727940" wp14:editId="6451D3DE">
          <wp:extent cx="2342515" cy="628591"/>
          <wp:effectExtent l="0" t="0" r="635" b="63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27" b="5621"/>
                  <a:stretch/>
                </pic:blipFill>
                <pic:spPr bwMode="auto">
                  <a:xfrm>
                    <a:off x="0" y="0"/>
                    <a:ext cx="2364872" cy="634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E08"/>
    <w:multiLevelType w:val="hybridMultilevel"/>
    <w:tmpl w:val="943C2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14ED1"/>
    <w:multiLevelType w:val="multilevel"/>
    <w:tmpl w:val="E45C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D048C"/>
    <w:multiLevelType w:val="hybridMultilevel"/>
    <w:tmpl w:val="3D34499E"/>
    <w:lvl w:ilvl="0" w:tplc="B95E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125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AC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A45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008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F60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122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E6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2A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E87A07"/>
    <w:multiLevelType w:val="hybridMultilevel"/>
    <w:tmpl w:val="86FE5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B6654"/>
    <w:multiLevelType w:val="hybridMultilevel"/>
    <w:tmpl w:val="C1A22064"/>
    <w:lvl w:ilvl="0" w:tplc="DF321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0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FA0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8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2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C00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527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2ED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927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9360B98"/>
    <w:multiLevelType w:val="hybridMultilevel"/>
    <w:tmpl w:val="DB48FAB0"/>
    <w:lvl w:ilvl="0" w:tplc="E250B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03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48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2C5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AA4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0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09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8E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C7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C36831"/>
    <w:multiLevelType w:val="multilevel"/>
    <w:tmpl w:val="BD32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2"/>
    <w:rsid w:val="00042063"/>
    <w:rsid w:val="00071B91"/>
    <w:rsid w:val="000C027F"/>
    <w:rsid w:val="0011437F"/>
    <w:rsid w:val="00127B51"/>
    <w:rsid w:val="001376AF"/>
    <w:rsid w:val="0016152C"/>
    <w:rsid w:val="00172543"/>
    <w:rsid w:val="001F31DB"/>
    <w:rsid w:val="0020460A"/>
    <w:rsid w:val="0025576D"/>
    <w:rsid w:val="0029199C"/>
    <w:rsid w:val="00307325"/>
    <w:rsid w:val="003C6997"/>
    <w:rsid w:val="003C7803"/>
    <w:rsid w:val="003D7F53"/>
    <w:rsid w:val="003E2E13"/>
    <w:rsid w:val="003E5202"/>
    <w:rsid w:val="003F5E7F"/>
    <w:rsid w:val="00413BBC"/>
    <w:rsid w:val="00445C90"/>
    <w:rsid w:val="004540C5"/>
    <w:rsid w:val="00455888"/>
    <w:rsid w:val="00477412"/>
    <w:rsid w:val="004843FE"/>
    <w:rsid w:val="004C4EC6"/>
    <w:rsid w:val="004F735E"/>
    <w:rsid w:val="00507C00"/>
    <w:rsid w:val="00534892"/>
    <w:rsid w:val="005601F0"/>
    <w:rsid w:val="00573279"/>
    <w:rsid w:val="00580AC1"/>
    <w:rsid w:val="005B2367"/>
    <w:rsid w:val="005E1BE0"/>
    <w:rsid w:val="005E713B"/>
    <w:rsid w:val="005F0C94"/>
    <w:rsid w:val="00605083"/>
    <w:rsid w:val="006336DF"/>
    <w:rsid w:val="006710D5"/>
    <w:rsid w:val="006B5CB0"/>
    <w:rsid w:val="006B7F7A"/>
    <w:rsid w:val="00714E4F"/>
    <w:rsid w:val="00755BC8"/>
    <w:rsid w:val="00770152"/>
    <w:rsid w:val="00781984"/>
    <w:rsid w:val="00786FA4"/>
    <w:rsid w:val="00810EA8"/>
    <w:rsid w:val="00892735"/>
    <w:rsid w:val="008C4906"/>
    <w:rsid w:val="008D3CA6"/>
    <w:rsid w:val="009223E7"/>
    <w:rsid w:val="00943648"/>
    <w:rsid w:val="0098620E"/>
    <w:rsid w:val="0099541C"/>
    <w:rsid w:val="009D19A7"/>
    <w:rsid w:val="009D6FD0"/>
    <w:rsid w:val="00A16F51"/>
    <w:rsid w:val="00A22F5F"/>
    <w:rsid w:val="00A64AF6"/>
    <w:rsid w:val="00A8294B"/>
    <w:rsid w:val="00AB2B67"/>
    <w:rsid w:val="00AF45AE"/>
    <w:rsid w:val="00B05E5A"/>
    <w:rsid w:val="00B30DF0"/>
    <w:rsid w:val="00B42B6D"/>
    <w:rsid w:val="00B55211"/>
    <w:rsid w:val="00B67D85"/>
    <w:rsid w:val="00BB7A44"/>
    <w:rsid w:val="00C11EA1"/>
    <w:rsid w:val="00C701FE"/>
    <w:rsid w:val="00CA5115"/>
    <w:rsid w:val="00CD07FC"/>
    <w:rsid w:val="00CD4026"/>
    <w:rsid w:val="00D05B2B"/>
    <w:rsid w:val="00D50251"/>
    <w:rsid w:val="00D64E34"/>
    <w:rsid w:val="00D85167"/>
    <w:rsid w:val="00DA65CC"/>
    <w:rsid w:val="00DF1678"/>
    <w:rsid w:val="00E1438B"/>
    <w:rsid w:val="00E41750"/>
    <w:rsid w:val="00E56FF8"/>
    <w:rsid w:val="00E80CCA"/>
    <w:rsid w:val="00EA761C"/>
    <w:rsid w:val="00EB059B"/>
    <w:rsid w:val="00F54159"/>
    <w:rsid w:val="00F6621C"/>
    <w:rsid w:val="00F92616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45CC4"/>
  <w15:chartTrackingRefBased/>
  <w15:docId w15:val="{A9FDC4D0-E9F6-4AA7-8CE6-6C03F7E2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E52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E5202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E5202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C4906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0AC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710D5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58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16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F51"/>
  </w:style>
  <w:style w:type="paragraph" w:styleId="Piedepgina">
    <w:name w:val="footer"/>
    <w:basedOn w:val="Normal"/>
    <w:link w:val="PiedepginaCar"/>
    <w:uiPriority w:val="99"/>
    <w:unhideWhenUsed/>
    <w:rsid w:val="00A16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F51"/>
  </w:style>
  <w:style w:type="character" w:styleId="Textoennegrita">
    <w:name w:val="Strong"/>
    <w:basedOn w:val="Fuentedeprrafopredeter"/>
    <w:uiPriority w:val="22"/>
    <w:qFormat/>
    <w:rsid w:val="00507C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0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7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BZWXluLA08" TargetMode="External"/><Relationship Id="rId13" Type="http://schemas.openxmlformats.org/officeDocument/2006/relationships/hyperlink" Target="https://dementiainculturalmediation.eu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atiainstituto.net/es/proyectos-de-investigacion/proyectos/dcum-demencia-en-mediacion-cultural" TargetMode="External"/><Relationship Id="rId12" Type="http://schemas.openxmlformats.org/officeDocument/2006/relationships/hyperlink" Target="https://www.youtube.com/watch?v=fL6kD4HU61E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ZIefoqyO0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www.youtube.com/watch?v=9A-AtdHyvV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OKoPgOeXmg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758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Wraae Folting Poulsen</dc:creator>
  <cp:keywords/>
  <dc:description/>
  <cp:lastModifiedBy>Gorka Alías</cp:lastModifiedBy>
  <cp:revision>3</cp:revision>
  <dcterms:created xsi:type="dcterms:W3CDTF">2022-03-30T18:47:00Z</dcterms:created>
  <dcterms:modified xsi:type="dcterms:W3CDTF">2022-03-31T08:24:00Z</dcterms:modified>
</cp:coreProperties>
</file>